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E" w:rsidRPr="00A04C7E" w:rsidRDefault="00A04C7E" w:rsidP="00A04C7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04C7E">
        <w:rPr>
          <w:rFonts w:eastAsia="Times New Roman" w:cs="Times New Roman"/>
          <w:b/>
          <w:bCs/>
          <w:sz w:val="32"/>
          <w:szCs w:val="32"/>
          <w:lang w:eastAsia="ru-RU"/>
        </w:rPr>
        <w:t>Перечень това</w:t>
      </w:r>
      <w:bookmarkStart w:id="0" w:name="_GoBack"/>
      <w:bookmarkEnd w:id="0"/>
      <w:r w:rsidRPr="00A04C7E">
        <w:rPr>
          <w:rFonts w:eastAsia="Times New Roman" w:cs="Times New Roman"/>
          <w:b/>
          <w:bCs/>
          <w:sz w:val="32"/>
          <w:szCs w:val="32"/>
          <w:lang w:eastAsia="ru-RU"/>
        </w:rPr>
        <w:t>ров подлежащих государственной регистрации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ВНИМАНИЕ! Информация для импортеров и грузоперевозчиков! 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04C7E">
        <w:rPr>
          <w:rFonts w:eastAsia="Times New Roman" w:cs="Times New Roman"/>
          <w:sz w:val="24"/>
          <w:szCs w:val="24"/>
          <w:lang w:eastAsia="ru-RU"/>
        </w:rPr>
        <w:t>С 1 июля 2010 года вступили в силу Соглашение таможенного союза по санитарным мерам, принятое Решением Межгосударственного Совета Евразийского экономического сообщества (высшего органа таможенного союза) на уровне Глав Правительств от 11 декабря 2009г. №28 и документы, определяющие механизм его реализации (утверждены решением Комиссии таможенного союза №299 от 28 мая 2010 г.), формирующие договорно-правовую базу таможенного союза в области санитарных мер.</w:t>
      </w:r>
      <w:proofErr w:type="gramEnd"/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sz w:val="24"/>
          <w:szCs w:val="24"/>
          <w:lang w:eastAsia="ru-RU"/>
        </w:rPr>
        <w:t xml:space="preserve">При пересечении таможенной границы таможенного союза на подконтрольные товары, согласно разделу II Единого перечня товаров, необходимо представить один из перечисленных документов, подтверждающих безопасность продукции (товаров):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свидетельство о государственной регистрации, оформленное по Единой форме (выданное после 01.07.2010 года уполномоченными органами Сторон) разрешающее обращение продукции на всей таможенной территории таможенного союза;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удостоверение о государственной гигиенической регистрации, выданное на имя изготовителя либо импортера и позволяющее обращение продукции исключительно на территории Республики Беларусь. Данная форма подтверждения применяется только до 01.01.2012г.;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акт государственной санитарно-гигиенической экспертизы, выданный на имя изготовителя либо импортера и позволяющий обращение продукции исключительно на территории Республики Беларусь. Данная форма подтверждения применяется только до 01.01.2012г.;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санитарно-эпидемиологическое заключение, свидетельство о государственной регистрации Российской Федерации – если груз следует транзитом в Российскую Федерацию. Данная форма подтверждения применяется только до 01.01.2012г.;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санитарно-эпидемиологическое заключение, свидетельство о государственной регистрации Республики Казахстан – если груз следует транзитом в Республику Казахстан. Данная форма подтверждения применяется только до 01.01.2012г.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>Ввоз на таможенную территорию таможенного союза подконтрольных товаров согласно разделу II Единого перечня товаров без документов, подтверждающих безопасность, запрещается.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sz w:val="24"/>
          <w:szCs w:val="24"/>
          <w:lang w:eastAsia="ru-RU"/>
        </w:rPr>
        <w:t>Ввоз подконтрольных товаров согласно разделу II Единого перечня, предназначенных для обращения исключительно на территории Республики Беларусь может осуществляться на основании гарантийного письма импортера, что использование, реализация и другие виды отчуждения данной продукции будет осуществляться исключительно на территории Республики Беларусь. При этом на товарно-сопроводительных документах проставляется штамп «Ввоз разрешен».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sz w:val="24"/>
          <w:szCs w:val="24"/>
          <w:lang w:eastAsia="ru-RU"/>
        </w:rPr>
        <w:t>Ввоз подконтрольных товаров, включенных в Раздел III Единого перечня, осуществляется без предоставления свидетельства о государственной регистрации, в тоже время штамп «Ввоз разрешен» проставляется.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sz w:val="24"/>
          <w:szCs w:val="24"/>
          <w:lang w:eastAsia="ru-RU"/>
        </w:rPr>
        <w:t xml:space="preserve">Наличие документа подтверждается одним из способов: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оригинал документа, подтверждающего безопасность продукции (товаров) или его копия, заверенная органом </w:t>
      </w:r>
      <w:proofErr w:type="gramStart"/>
      <w:r w:rsidRPr="00A04C7E">
        <w:rPr>
          <w:rFonts w:eastAsia="Times New Roman" w:cs="Times New Roman"/>
          <w:sz w:val="24"/>
          <w:szCs w:val="24"/>
          <w:lang w:eastAsia="ru-RU"/>
        </w:rPr>
        <w:t>его</w:t>
      </w:r>
      <w:proofErr w:type="gram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 выдавшим или получателем указанного документа;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выписка из Реестра свидетельств о государственной регистрации с указанием реквизитов документа, подтверждающего безопасность продукции (товаров), наименований продукции (товаров) изготовителя, получателя и органа, выдавшего документ;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- электронная форма указанных документов, заверенная электронной цифровой подписью.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Для проведения идентификации ввозимой продукции (товара) дополнительно могут быть представлены документы, подтверждающие происхождение товара (спецификация производителя, сертификат качества, и другие документы).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</w:r>
      <w:r w:rsidRPr="00A04C7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 ввозе образцов подконтрольных товаров для проведения лабораторных исследований (испытаний) для получения свидетельства о государственной регистрации в транспортных (перевозочных) и (или) коммерческих документах может содержаться запись о том, что данный товар является образцом для проведения исследований (испытаний).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>При ввозе образцов подконтрольных товаров необходимо предоставить сопроводительное письмо изготовителя (производителя) о том, что указанные образцы им изготовлены (произведены).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bookmarkStart w:id="1" w:name="tovar"/>
      <w:bookmarkEnd w:id="1"/>
      <w:r w:rsidRPr="00A04C7E">
        <w:rPr>
          <w:rFonts w:eastAsia="Times New Roman" w:cs="Times New Roman"/>
          <w:b/>
          <w:bCs/>
          <w:szCs w:val="28"/>
          <w:lang w:eastAsia="ru-RU"/>
        </w:rPr>
        <w:t>Перечень товаров, подлежащих государственной регистрации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4C7E">
        <w:rPr>
          <w:rFonts w:eastAsia="Times New Roman" w:cs="Times New Roman"/>
          <w:sz w:val="24"/>
          <w:szCs w:val="24"/>
          <w:lang w:eastAsia="ru-RU"/>
        </w:rPr>
        <w:t xml:space="preserve">1. Минеральная вода (природная столовая, лечебно-столовая), бутилированная питьевая вода, расфасованная в емкости (в том числе для использования в детском питании), тонизирующие напитки, алкогольная продукция, включая слабоалкогольную продукцию, пиво.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2. Специализированные пищевые продукты, в том числе продукты детского питания, продукты для беременных и кормящих женщин, продукты диетического (лечебного и профилактического) питания, продукты для питания спортсменов (далее – специализированные пищевые продукты); биологически активные добавки к пище, сырье для производства биологически активных добавок к пище, органические продукты.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>3. Пищевые продукты, полученные с использованием генно-инженерно-модифицированных (</w:t>
      </w:r>
      <w:proofErr w:type="spellStart"/>
      <w:r w:rsidRPr="00A04C7E">
        <w:rPr>
          <w:rFonts w:eastAsia="Times New Roman" w:cs="Times New Roman"/>
          <w:sz w:val="24"/>
          <w:szCs w:val="24"/>
          <w:lang w:eastAsia="ru-RU"/>
        </w:rPr>
        <w:t>трансгенных</w:t>
      </w:r>
      <w:proofErr w:type="spell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) организмов, в том числе генетически модифицированные микроорганизмы.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4. Пищевые добавки, комплексные пищевые добавки, </w:t>
      </w:r>
      <w:proofErr w:type="spellStart"/>
      <w:r w:rsidRPr="00A04C7E">
        <w:rPr>
          <w:rFonts w:eastAsia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, растительные экстракты в качестве </w:t>
      </w:r>
      <w:proofErr w:type="spellStart"/>
      <w:r w:rsidRPr="00A04C7E">
        <w:rPr>
          <w:rFonts w:eastAsia="Times New Roman" w:cs="Times New Roman"/>
          <w:sz w:val="24"/>
          <w:szCs w:val="24"/>
          <w:lang w:eastAsia="ru-RU"/>
        </w:rPr>
        <w:t>вкусоароматических</w:t>
      </w:r>
      <w:proofErr w:type="spell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 веществ и сырьевых компонентов, стартовые культуры микроорганизмов и бактериальные закваски, технологические вспомогательные средства, в том числе ферментные препараты.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5. Косметические продукция; средства и изделия гигиены полости рта.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6. Дезинфицирующие, дезинсекционные и </w:t>
      </w:r>
      <w:proofErr w:type="spellStart"/>
      <w:r w:rsidRPr="00A04C7E">
        <w:rPr>
          <w:rFonts w:eastAsia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 средства (для применения в быту, в лечебно-профилактических учреждениях и на других объектах (</w:t>
      </w:r>
      <w:proofErr w:type="gramStart"/>
      <w:r w:rsidRPr="00A04C7E">
        <w:rPr>
          <w:rFonts w:eastAsia="Times New Roman" w:cs="Times New Roman"/>
          <w:sz w:val="24"/>
          <w:szCs w:val="24"/>
          <w:lang w:eastAsia="ru-RU"/>
        </w:rPr>
        <w:t>кроме</w:t>
      </w:r>
      <w:proofErr w:type="gramEnd"/>
      <w:r w:rsidRPr="00A04C7E">
        <w:rPr>
          <w:rFonts w:eastAsia="Times New Roman" w:cs="Times New Roman"/>
          <w:sz w:val="24"/>
          <w:szCs w:val="24"/>
          <w:lang w:eastAsia="ru-RU"/>
        </w:rPr>
        <w:t xml:space="preserve"> применяемых в ветеринарии)).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7. Товары бытовой химии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 xml:space="preserve">10. Предметы личной гигиены для детей и взрослых, предметы детского обихода до 3 лет: посуда и изделия, используемые для питания детей, предметы по гигиеническому уходу за ребенком; одежда для детей (1 слой). </w:t>
      </w:r>
      <w:r w:rsidRPr="00A04C7E">
        <w:rPr>
          <w:rFonts w:eastAsia="Times New Roman" w:cs="Times New Roman"/>
          <w:sz w:val="24"/>
          <w:szCs w:val="24"/>
          <w:lang w:eastAsia="ru-RU"/>
        </w:rPr>
        <w:br/>
        <w:t>11. Изделия, предназначенные для контакта с пищевыми продуктами (кроме посуды, столовых принадлежностей, технологического оборудования).</w:t>
      </w:r>
    </w:p>
    <w:p w:rsidR="00A04C7E" w:rsidRPr="00A04C7E" w:rsidRDefault="00A04C7E" w:rsidP="00A04C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2" w:name="kody"/>
      <w:bookmarkEnd w:id="2"/>
      <w:r w:rsidRPr="00A04C7E">
        <w:rPr>
          <w:rFonts w:eastAsia="Times New Roman" w:cs="Times New Roman"/>
          <w:b/>
          <w:bCs/>
          <w:sz w:val="24"/>
          <w:szCs w:val="24"/>
          <w:lang w:eastAsia="ru-RU"/>
        </w:rPr>
        <w:t>Подконтрольные коды ТН ВЭД ТС: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1260"/>
        <w:gridCol w:w="1275"/>
      </w:tblGrid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210500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3307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130220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3401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1302310000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220110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340220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130232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340290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220300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3403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150200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3405400000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150300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3501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220600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3502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1506000000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350300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220900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3504000000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25010091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3505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040700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3507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0408198100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3802100000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0408198900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3808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0408998000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3809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0409000000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381400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3820000000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3917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0713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3920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0714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3923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160100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4014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4415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080300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160300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4416000000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2927000000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4503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292800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480300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4812000000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0811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4818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0812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293100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481840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0813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1801000000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4819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0814000000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4823200000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1804000000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560110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1805000000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293500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6107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0903000000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6108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6109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0905000000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6115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1903000000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320300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6207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0907000000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6208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3205000000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6212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6305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731021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110100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731029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7612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200600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321000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8413703000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842121000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851240000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851610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330210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9603210000</w:t>
            </w: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4C7E" w:rsidRPr="00A04C7E" w:rsidTr="00A0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before="100" w:beforeAutospacing="1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C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3305 </w:t>
            </w:r>
          </w:p>
        </w:tc>
        <w:tc>
          <w:tcPr>
            <w:tcW w:w="0" w:type="auto"/>
            <w:vAlign w:val="center"/>
            <w:hideMark/>
          </w:tcPr>
          <w:p w:rsidR="00A04C7E" w:rsidRPr="00A04C7E" w:rsidRDefault="00A04C7E" w:rsidP="00A04C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7C6" w:rsidRDefault="007877C6"/>
    <w:sectPr w:rsidR="007877C6" w:rsidSect="006862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BD"/>
    <w:rsid w:val="006862E8"/>
    <w:rsid w:val="007877C6"/>
    <w:rsid w:val="00A04C7E"/>
    <w:rsid w:val="00B906E9"/>
    <w:rsid w:val="00D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9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A04C7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4C7E"/>
    <w:rPr>
      <w:b/>
      <w:bCs/>
    </w:rPr>
  </w:style>
  <w:style w:type="paragraph" w:styleId="a4">
    <w:name w:val="Normal (Web)"/>
    <w:basedOn w:val="a"/>
    <w:uiPriority w:val="99"/>
    <w:unhideWhenUsed/>
    <w:rsid w:val="00A04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9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A04C7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4C7E"/>
    <w:rPr>
      <w:b/>
      <w:bCs/>
    </w:rPr>
  </w:style>
  <w:style w:type="paragraph" w:styleId="a4">
    <w:name w:val="Normal (Web)"/>
    <w:basedOn w:val="a"/>
    <w:uiPriority w:val="99"/>
    <w:unhideWhenUsed/>
    <w:rsid w:val="00A04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Roschupkin Vyacheslav Yurievich</dc:creator>
  <cp:lastModifiedBy>Roschupkin Vyacheslav Yurievich</cp:lastModifiedBy>
  <cp:revision>1</cp:revision>
  <dcterms:created xsi:type="dcterms:W3CDTF">2016-03-16T08:28:00Z</dcterms:created>
  <dcterms:modified xsi:type="dcterms:W3CDTF">2016-03-16T09:40:00Z</dcterms:modified>
</cp:coreProperties>
</file>